
<file path=[Content_Types].xml><?xml version="1.0" encoding="utf-8"?>
<Types xmlns="http://schemas.openxmlformats.org/package/2006/content-types">
  <Default Extension="json" ContentType="application/vnd.baytech.document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document-metadata" Target="baytech/document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97A6F" w14:textId="77777777" w:rsidR="00742823" w:rsidRDefault="00107D13" w:rsidP="006512B4">
      <w:pPr>
        <w:numPr>
          <w:ilvl w:val="0"/>
          <w:numId w:val="1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Pr="00742823">
        <w:rPr>
          <w:rFonts w:ascii="Arial" w:hAnsi="Arial" w:cs="Arial"/>
          <w:bCs/>
          <w:spacing w:val="-3"/>
          <w:sz w:val="22"/>
          <w:szCs w:val="22"/>
        </w:rPr>
        <w:t xml:space="preserve">he Department of Environment and Science (DES) engaged retired Planning and Environment Court judge, Mr Richard Jones, </w:t>
      </w:r>
      <w:r w:rsidR="00206892" w:rsidRPr="00206892">
        <w:rPr>
          <w:rFonts w:ascii="Arial" w:hAnsi="Arial" w:cs="Arial"/>
          <w:bCs/>
          <w:spacing w:val="-3"/>
          <w:sz w:val="22"/>
          <w:szCs w:val="22"/>
        </w:rPr>
        <w:t>and former Senior Crown Prosecutor Susan Hedge</w:t>
      </w:r>
      <w:r w:rsidR="00206892">
        <w:rPr>
          <w:rFonts w:ascii="Arial" w:hAnsi="Arial" w:cs="Arial"/>
          <w:bCs/>
          <w:spacing w:val="-3"/>
          <w:sz w:val="22"/>
          <w:szCs w:val="22"/>
        </w:rPr>
        <w:t>,</w:t>
      </w:r>
      <w:r w:rsidR="00206892" w:rsidRPr="0020689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742823">
        <w:rPr>
          <w:rFonts w:ascii="Arial" w:hAnsi="Arial" w:cs="Arial"/>
          <w:bCs/>
          <w:spacing w:val="-3"/>
          <w:sz w:val="22"/>
          <w:szCs w:val="22"/>
        </w:rPr>
        <w:t xml:space="preserve">to undertake an independent review into the adequacy of existing powers and penalties under the </w:t>
      </w:r>
      <w:r w:rsidRPr="00742823">
        <w:rPr>
          <w:rFonts w:ascii="Arial" w:hAnsi="Arial" w:cs="Arial"/>
          <w:bCs/>
          <w:i/>
          <w:iCs/>
          <w:spacing w:val="-3"/>
          <w:sz w:val="22"/>
          <w:szCs w:val="22"/>
        </w:rPr>
        <w:t>Environmental Protection Act 1994</w:t>
      </w:r>
      <w:r w:rsidRPr="00742823">
        <w:rPr>
          <w:rFonts w:ascii="Arial" w:hAnsi="Arial" w:cs="Arial"/>
          <w:bCs/>
          <w:spacing w:val="-3"/>
          <w:sz w:val="22"/>
          <w:szCs w:val="22"/>
        </w:rPr>
        <w:t xml:space="preserve"> (EP Act).</w:t>
      </w:r>
    </w:p>
    <w:p w14:paraId="3E597A70" w14:textId="77777777" w:rsidR="00CB038E" w:rsidRDefault="00107D13" w:rsidP="006512B4">
      <w:pPr>
        <w:numPr>
          <w:ilvl w:val="0"/>
          <w:numId w:val="1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B038E">
        <w:rPr>
          <w:rFonts w:ascii="Arial" w:hAnsi="Arial" w:cs="Arial"/>
          <w:bCs/>
          <w:spacing w:val="-3"/>
          <w:sz w:val="22"/>
          <w:szCs w:val="22"/>
        </w:rPr>
        <w:t>The review has established that, to a significant extent, the EP Act contains adequate powers and penalties to, in most instances, enforce environmental obligations and reduce the risk of environmental harm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and that </w:t>
      </w:r>
      <w:r w:rsidRPr="00CB038E">
        <w:rPr>
          <w:rFonts w:ascii="Arial" w:hAnsi="Arial" w:cs="Arial"/>
          <w:bCs/>
          <w:spacing w:val="-3"/>
          <w:sz w:val="22"/>
          <w:szCs w:val="22"/>
        </w:rPr>
        <w:t>DES has a range of suitable statutory tools to use for enforcement, investigation and prosecution.</w:t>
      </w:r>
    </w:p>
    <w:p w14:paraId="3E597A71" w14:textId="77777777" w:rsidR="00742823" w:rsidRDefault="00107D13" w:rsidP="006512B4">
      <w:pPr>
        <w:numPr>
          <w:ilvl w:val="0"/>
          <w:numId w:val="1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review included </w:t>
      </w:r>
      <w:r w:rsidRPr="00742823">
        <w:rPr>
          <w:rFonts w:ascii="Arial" w:hAnsi="Arial" w:cs="Arial"/>
          <w:bCs/>
          <w:spacing w:val="-3"/>
          <w:sz w:val="22"/>
          <w:szCs w:val="22"/>
        </w:rPr>
        <w:t>18 recommendations for changes to the EP Act to improve the effectiveness of existing enforcement powers and tools, without making fundamental changes.</w:t>
      </w:r>
    </w:p>
    <w:p w14:paraId="3E597A72" w14:textId="77777777" w:rsidR="00CB038E" w:rsidRDefault="00107D13" w:rsidP="006512B4">
      <w:pPr>
        <w:numPr>
          <w:ilvl w:val="0"/>
          <w:numId w:val="1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recommendations included</w:t>
      </w:r>
      <w:r w:rsidRPr="00CB038E">
        <w:t xml:space="preserve"> </w:t>
      </w:r>
      <w:r w:rsidRPr="00CB038E">
        <w:rPr>
          <w:rFonts w:ascii="Arial" w:hAnsi="Arial" w:cs="Arial"/>
          <w:bCs/>
          <w:spacing w:val="-3"/>
          <w:sz w:val="22"/>
          <w:szCs w:val="22"/>
        </w:rPr>
        <w:t>introduc</w:t>
      </w:r>
      <w:r>
        <w:rPr>
          <w:rFonts w:ascii="Arial" w:hAnsi="Arial" w:cs="Arial"/>
          <w:bCs/>
          <w:spacing w:val="-3"/>
          <w:sz w:val="22"/>
          <w:szCs w:val="22"/>
        </w:rPr>
        <w:t>ing</w:t>
      </w:r>
      <w:r w:rsidRPr="00CB038E">
        <w:rPr>
          <w:rFonts w:ascii="Arial" w:hAnsi="Arial" w:cs="Arial"/>
          <w:bCs/>
          <w:spacing w:val="-3"/>
          <w:sz w:val="22"/>
          <w:szCs w:val="22"/>
        </w:rPr>
        <w:t xml:space="preserve"> an offence for contravening the general environmental duty (GED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), further emphasising human health, safety and wellbeing under the EP Act, and expanding the </w:t>
      </w:r>
      <w:r w:rsidRPr="00CB038E">
        <w:rPr>
          <w:rFonts w:ascii="Arial" w:hAnsi="Arial" w:cs="Arial"/>
          <w:bCs/>
          <w:spacing w:val="-3"/>
          <w:sz w:val="22"/>
          <w:szCs w:val="22"/>
        </w:rPr>
        <w:t>principles underpinning the EP Act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 w:rsidR="003E1019">
        <w:rPr>
          <w:rFonts w:ascii="Arial" w:hAnsi="Arial" w:cs="Arial"/>
          <w:bCs/>
          <w:spacing w:val="-3"/>
          <w:sz w:val="22"/>
          <w:szCs w:val="22"/>
        </w:rPr>
        <w:t>All recommendations are supported, with one supported in-principle.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3E597A73" w14:textId="77777777" w:rsidR="00CB038E" w:rsidRPr="00742823" w:rsidRDefault="00107D13" w:rsidP="006512B4">
      <w:pPr>
        <w:numPr>
          <w:ilvl w:val="0"/>
          <w:numId w:val="1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B038E">
        <w:rPr>
          <w:rFonts w:ascii="Arial" w:hAnsi="Arial" w:cs="Arial"/>
          <w:bCs/>
          <w:spacing w:val="-3"/>
          <w:sz w:val="22"/>
          <w:szCs w:val="22"/>
        </w:rPr>
        <w:t>Building on the recommendations of the review, DES has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also</w:t>
      </w:r>
      <w:r w:rsidRPr="00CB038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F64357">
        <w:rPr>
          <w:rFonts w:ascii="Arial" w:hAnsi="Arial" w:cs="Arial"/>
          <w:bCs/>
          <w:spacing w:val="-3"/>
          <w:sz w:val="22"/>
          <w:szCs w:val="22"/>
        </w:rPr>
        <w:t xml:space="preserve">proposed </w:t>
      </w:r>
      <w:r w:rsidRPr="00CB038E">
        <w:rPr>
          <w:rFonts w:ascii="Arial" w:hAnsi="Arial" w:cs="Arial"/>
          <w:bCs/>
          <w:spacing w:val="-3"/>
          <w:sz w:val="22"/>
          <w:szCs w:val="22"/>
        </w:rPr>
        <w:t xml:space="preserve">introducing a duty to restore environmental harm to complement 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GED. </w:t>
      </w:r>
    </w:p>
    <w:p w14:paraId="3E597A74" w14:textId="77777777" w:rsidR="00280DCA" w:rsidRPr="00CE6FBA" w:rsidRDefault="00107D13" w:rsidP="006512B4">
      <w:pPr>
        <w:numPr>
          <w:ilvl w:val="0"/>
          <w:numId w:val="1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Hlk118730224"/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 w:rsidR="005A3556">
        <w:rPr>
          <w:rFonts w:ascii="Arial" w:hAnsi="Arial" w:cs="Arial"/>
          <w:sz w:val="22"/>
          <w:szCs w:val="22"/>
          <w:u w:val="single"/>
        </w:rPr>
        <w:t>approved</w:t>
      </w:r>
      <w:r w:rsidR="005A3556">
        <w:rPr>
          <w:rFonts w:ascii="Arial" w:hAnsi="Arial" w:cs="Arial"/>
          <w:sz w:val="22"/>
          <w:szCs w:val="22"/>
        </w:rPr>
        <w:t xml:space="preserve"> </w:t>
      </w:r>
      <w:r w:rsidR="00742823" w:rsidRPr="00742823">
        <w:rPr>
          <w:rFonts w:ascii="Arial" w:hAnsi="Arial" w:cs="Arial"/>
          <w:sz w:val="22"/>
          <w:szCs w:val="22"/>
        </w:rPr>
        <w:t xml:space="preserve">the Government response to the Independent Review of the </w:t>
      </w:r>
      <w:r w:rsidR="00742823" w:rsidRPr="00742823">
        <w:rPr>
          <w:rFonts w:ascii="Arial" w:hAnsi="Arial" w:cs="Arial"/>
          <w:i/>
          <w:iCs/>
          <w:sz w:val="22"/>
          <w:szCs w:val="22"/>
        </w:rPr>
        <w:t>Environmental Protection Act 1994</w:t>
      </w:r>
      <w:r w:rsidR="00742823" w:rsidRPr="00742823">
        <w:rPr>
          <w:rFonts w:ascii="Arial" w:hAnsi="Arial" w:cs="Arial"/>
          <w:sz w:val="22"/>
          <w:szCs w:val="22"/>
        </w:rPr>
        <w:t xml:space="preserve"> (Qld) Report.</w:t>
      </w:r>
    </w:p>
    <w:bookmarkEnd w:id="0"/>
    <w:p w14:paraId="3E597A75" w14:textId="77777777" w:rsidR="005A3556" w:rsidRPr="006512B4" w:rsidRDefault="00107D13" w:rsidP="005A3556">
      <w:pPr>
        <w:numPr>
          <w:ilvl w:val="0"/>
          <w:numId w:val="1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Pr="00742823">
        <w:rPr>
          <w:rFonts w:ascii="Arial" w:hAnsi="Arial" w:cs="Arial"/>
          <w:bCs/>
          <w:iCs/>
          <w:sz w:val="22"/>
          <w:szCs w:val="22"/>
        </w:rPr>
        <w:t xml:space="preserve">the public release of the Independent Review of the </w:t>
      </w:r>
      <w:r w:rsidRPr="00742823">
        <w:rPr>
          <w:rFonts w:ascii="Arial" w:hAnsi="Arial" w:cs="Arial"/>
          <w:bCs/>
          <w:i/>
          <w:sz w:val="22"/>
          <w:szCs w:val="22"/>
        </w:rPr>
        <w:t xml:space="preserve">Environmental Protection Act 1994 </w:t>
      </w:r>
      <w:r w:rsidRPr="00742823">
        <w:rPr>
          <w:rFonts w:ascii="Arial" w:hAnsi="Arial" w:cs="Arial"/>
          <w:bCs/>
          <w:iCs/>
          <w:sz w:val="22"/>
          <w:szCs w:val="22"/>
        </w:rPr>
        <w:t>(Qld) Report</w:t>
      </w:r>
      <w:r>
        <w:rPr>
          <w:rFonts w:ascii="Arial" w:hAnsi="Arial" w:cs="Arial"/>
          <w:bCs/>
          <w:iCs/>
          <w:sz w:val="22"/>
          <w:szCs w:val="22"/>
        </w:rPr>
        <w:t xml:space="preserve">. </w:t>
      </w:r>
    </w:p>
    <w:p w14:paraId="3E597A76" w14:textId="77777777" w:rsidR="005A3556" w:rsidRPr="00CE6FBA" w:rsidRDefault="00107D13" w:rsidP="006512B4">
      <w:pPr>
        <w:numPr>
          <w:ilvl w:val="0"/>
          <w:numId w:val="1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>
        <w:rPr>
          <w:rFonts w:ascii="Arial" w:hAnsi="Arial" w:cs="Arial"/>
          <w:sz w:val="22"/>
          <w:szCs w:val="22"/>
          <w:u w:val="single"/>
        </w:rPr>
        <w:t>approved</w:t>
      </w:r>
      <w:r>
        <w:rPr>
          <w:rFonts w:ascii="Arial" w:hAnsi="Arial" w:cs="Arial"/>
          <w:sz w:val="22"/>
          <w:szCs w:val="22"/>
        </w:rPr>
        <w:t xml:space="preserve"> </w:t>
      </w:r>
      <w:r w:rsidRPr="00742823">
        <w:rPr>
          <w:rFonts w:ascii="Arial" w:hAnsi="Arial" w:cs="Arial"/>
          <w:sz w:val="22"/>
          <w:szCs w:val="22"/>
        </w:rPr>
        <w:t xml:space="preserve">the </w:t>
      </w:r>
      <w:r w:rsidRPr="00742823">
        <w:rPr>
          <w:rFonts w:ascii="Arial" w:hAnsi="Arial" w:cs="Arial"/>
          <w:bCs/>
          <w:iCs/>
          <w:sz w:val="22"/>
          <w:szCs w:val="22"/>
        </w:rPr>
        <w:t xml:space="preserve">public release </w:t>
      </w:r>
      <w:r>
        <w:rPr>
          <w:rFonts w:ascii="Arial" w:hAnsi="Arial" w:cs="Arial"/>
          <w:bCs/>
          <w:iCs/>
          <w:sz w:val="22"/>
          <w:szCs w:val="22"/>
        </w:rPr>
        <w:t xml:space="preserve">of the </w:t>
      </w:r>
      <w:r w:rsidRPr="00742823">
        <w:rPr>
          <w:rFonts w:ascii="Arial" w:hAnsi="Arial" w:cs="Arial"/>
          <w:sz w:val="22"/>
          <w:szCs w:val="22"/>
        </w:rPr>
        <w:t xml:space="preserve">Government response to the Independent Review of the </w:t>
      </w:r>
      <w:r w:rsidRPr="00742823">
        <w:rPr>
          <w:rFonts w:ascii="Arial" w:hAnsi="Arial" w:cs="Arial"/>
          <w:i/>
          <w:iCs/>
          <w:sz w:val="22"/>
          <w:szCs w:val="22"/>
        </w:rPr>
        <w:t>Environmental Protection Act 1994</w:t>
      </w:r>
      <w:r w:rsidRPr="00742823">
        <w:rPr>
          <w:rFonts w:ascii="Arial" w:hAnsi="Arial" w:cs="Arial"/>
          <w:sz w:val="22"/>
          <w:szCs w:val="22"/>
        </w:rPr>
        <w:t xml:space="preserve"> (Qld) Report.</w:t>
      </w:r>
    </w:p>
    <w:p w14:paraId="3E597A77" w14:textId="052DADA4" w:rsidR="00D6589B" w:rsidRPr="00C07656" w:rsidRDefault="00107D13" w:rsidP="00103710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  <w:r w:rsidR="00276F4D">
        <w:rPr>
          <w:rFonts w:ascii="Arial" w:hAnsi="Arial" w:cs="Arial"/>
          <w:iCs/>
          <w:sz w:val="22"/>
          <w:szCs w:val="22"/>
        </w:rPr>
        <w:t>:</w:t>
      </w:r>
    </w:p>
    <w:p w14:paraId="3E597A78" w14:textId="70C82947" w:rsidR="00742823" w:rsidRDefault="00B97A96" w:rsidP="00276F4D">
      <w:pPr>
        <w:numPr>
          <w:ilvl w:val="0"/>
          <w:numId w:val="2"/>
        </w:numPr>
        <w:tabs>
          <w:tab w:val="clear" w:pos="814"/>
        </w:tabs>
        <w:spacing w:before="120"/>
        <w:ind w:left="567" w:hanging="210"/>
        <w:jc w:val="both"/>
        <w:rPr>
          <w:rFonts w:ascii="Arial" w:hAnsi="Arial" w:cs="Arial"/>
          <w:sz w:val="22"/>
          <w:szCs w:val="22"/>
        </w:rPr>
      </w:pPr>
      <w:hyperlink r:id="rId10" w:history="1">
        <w:r w:rsidR="00107D13" w:rsidRPr="00C0043F">
          <w:rPr>
            <w:rStyle w:val="Hyperlink"/>
            <w:rFonts w:ascii="Arial" w:hAnsi="Arial" w:cs="Arial"/>
            <w:sz w:val="22"/>
            <w:szCs w:val="22"/>
          </w:rPr>
          <w:t xml:space="preserve">Independent Review of the </w:t>
        </w:r>
        <w:r w:rsidR="00107D13" w:rsidRPr="00C0043F">
          <w:rPr>
            <w:rStyle w:val="Hyperlink"/>
            <w:rFonts w:ascii="Arial" w:hAnsi="Arial" w:cs="Arial"/>
            <w:i/>
            <w:iCs/>
            <w:sz w:val="22"/>
            <w:szCs w:val="22"/>
          </w:rPr>
          <w:t>Environmental Protection Act 1994</w:t>
        </w:r>
        <w:r w:rsidR="00107D13" w:rsidRPr="00C0043F">
          <w:rPr>
            <w:rStyle w:val="Hyperlink"/>
            <w:rFonts w:ascii="Arial" w:hAnsi="Arial" w:cs="Arial"/>
            <w:sz w:val="22"/>
            <w:szCs w:val="22"/>
          </w:rPr>
          <w:t xml:space="preserve"> (Qld) Report</w:t>
        </w:r>
      </w:hyperlink>
    </w:p>
    <w:p w14:paraId="3E597A79" w14:textId="07252697" w:rsidR="00732E22" w:rsidRPr="00742823" w:rsidRDefault="00B97A96" w:rsidP="00276F4D">
      <w:pPr>
        <w:numPr>
          <w:ilvl w:val="0"/>
          <w:numId w:val="2"/>
        </w:numPr>
        <w:tabs>
          <w:tab w:val="clear" w:pos="814"/>
        </w:tabs>
        <w:spacing w:before="120"/>
        <w:ind w:left="567" w:hanging="210"/>
        <w:jc w:val="both"/>
        <w:rPr>
          <w:rFonts w:ascii="Arial" w:hAnsi="Arial" w:cs="Arial"/>
          <w:sz w:val="22"/>
          <w:szCs w:val="22"/>
        </w:rPr>
      </w:pPr>
      <w:hyperlink r:id="rId11" w:history="1">
        <w:r w:rsidR="00107D13" w:rsidRPr="00C0043F">
          <w:rPr>
            <w:rStyle w:val="Hyperlink"/>
            <w:rFonts w:ascii="Arial" w:hAnsi="Arial" w:cs="Arial"/>
            <w:sz w:val="22"/>
            <w:szCs w:val="22"/>
          </w:rPr>
          <w:t>Government response to recommendations</w:t>
        </w:r>
      </w:hyperlink>
    </w:p>
    <w:sectPr w:rsidR="00732E22" w:rsidRPr="00742823" w:rsidSect="001C1D88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51C91" w14:textId="77777777" w:rsidR="00D06E4B" w:rsidRDefault="00D06E4B">
      <w:r>
        <w:separator/>
      </w:r>
    </w:p>
  </w:endnote>
  <w:endnote w:type="continuationSeparator" w:id="0">
    <w:p w14:paraId="3D908A6C" w14:textId="77777777" w:rsidR="00D06E4B" w:rsidRDefault="00D0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144C6" w14:textId="77777777" w:rsidR="00D06E4B" w:rsidRDefault="00D06E4B">
      <w:r>
        <w:separator/>
      </w:r>
    </w:p>
  </w:footnote>
  <w:footnote w:type="continuationSeparator" w:id="0">
    <w:p w14:paraId="17BC6ED4" w14:textId="77777777" w:rsidR="00D06E4B" w:rsidRDefault="00D06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97A7E" w14:textId="77777777" w:rsidR="00937A4A" w:rsidRPr="00937A4A" w:rsidRDefault="00107D13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3E597A7F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3E597A80" w14:textId="77777777" w:rsidR="00937A4A" w:rsidRPr="00937A4A" w:rsidRDefault="00107D13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9B5903">
      <w:rPr>
        <w:rFonts w:ascii="Arial" w:hAnsi="Arial" w:cs="Arial"/>
        <w:b/>
        <w:color w:val="auto"/>
        <w:sz w:val="22"/>
        <w:szCs w:val="22"/>
        <w:lang w:eastAsia="en-US"/>
      </w:rPr>
      <w:t>April 2023</w:t>
    </w:r>
  </w:p>
  <w:p w14:paraId="3E597A81" w14:textId="77777777" w:rsidR="003E1019" w:rsidRDefault="00107D13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E1019">
      <w:rPr>
        <w:rFonts w:ascii="Arial" w:hAnsi="Arial" w:cs="Arial"/>
        <w:b/>
        <w:sz w:val="22"/>
        <w:szCs w:val="22"/>
        <w:u w:val="single"/>
      </w:rPr>
      <w:t xml:space="preserve">Government response to the Independent Review of the Powers and Penalties under the </w:t>
    </w:r>
    <w:r w:rsidRPr="00F3036A">
      <w:rPr>
        <w:rFonts w:ascii="Arial" w:hAnsi="Arial" w:cs="Arial"/>
        <w:b/>
        <w:i/>
        <w:iCs/>
        <w:sz w:val="22"/>
        <w:szCs w:val="22"/>
        <w:u w:val="single"/>
      </w:rPr>
      <w:t>Environmental Protection Act 1994</w:t>
    </w:r>
    <w:r w:rsidRPr="003E1019">
      <w:rPr>
        <w:rFonts w:ascii="Arial" w:hAnsi="Arial" w:cs="Arial"/>
        <w:b/>
        <w:sz w:val="22"/>
        <w:szCs w:val="22"/>
        <w:u w:val="single"/>
      </w:rPr>
      <w:t xml:space="preserve"> (Qld) Report</w:t>
    </w:r>
  </w:p>
  <w:p w14:paraId="3E597A83" w14:textId="77777777" w:rsidR="00CB1501" w:rsidRDefault="00107D13" w:rsidP="00276F4D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sz w:val="22"/>
        <w:szCs w:val="22"/>
        <w:u w:val="single"/>
      </w:rPr>
    </w:pPr>
    <w:r w:rsidRPr="00D85C87">
      <w:rPr>
        <w:rFonts w:ascii="Arial" w:hAnsi="Arial" w:cs="Arial"/>
        <w:b/>
        <w:sz w:val="22"/>
        <w:szCs w:val="22"/>
        <w:u w:val="single"/>
      </w:rPr>
      <w:t>Minister for the Environment and the Great Barrier Reef and Minister for Science and Youth Affairs</w:t>
    </w:r>
  </w:p>
  <w:p w14:paraId="3E597A84" w14:textId="77777777" w:rsidR="00D85C87" w:rsidRDefault="00D85C87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427D55"/>
    <w:multiLevelType w:val="hybridMultilevel"/>
    <w:tmpl w:val="E79E3230"/>
    <w:lvl w:ilvl="0" w:tplc="A036B9D0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EE54CE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4493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787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A9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0AC4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B89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8EDA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DC39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C9C4FE3A"/>
    <w:lvl w:ilvl="0" w:tplc="026C2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962390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B47A2A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BA4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854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F4A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88A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874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103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3534872">
    <w:abstractNumId w:val="1"/>
  </w:num>
  <w:num w:numId="2" w16cid:durableId="1731271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CA"/>
    <w:rsid w:val="000161CE"/>
    <w:rsid w:val="000430DD"/>
    <w:rsid w:val="00080F8F"/>
    <w:rsid w:val="00086BD8"/>
    <w:rsid w:val="00102974"/>
    <w:rsid w:val="00103710"/>
    <w:rsid w:val="0010384C"/>
    <w:rsid w:val="00107443"/>
    <w:rsid w:val="00107D13"/>
    <w:rsid w:val="00140936"/>
    <w:rsid w:val="00152095"/>
    <w:rsid w:val="00174117"/>
    <w:rsid w:val="001A2140"/>
    <w:rsid w:val="001C1D88"/>
    <w:rsid w:val="00206892"/>
    <w:rsid w:val="0021344B"/>
    <w:rsid w:val="00222989"/>
    <w:rsid w:val="00276F4D"/>
    <w:rsid w:val="00280DCA"/>
    <w:rsid w:val="003200E0"/>
    <w:rsid w:val="0034156D"/>
    <w:rsid w:val="003A310F"/>
    <w:rsid w:val="003A3BDD"/>
    <w:rsid w:val="003B5871"/>
    <w:rsid w:val="003E1019"/>
    <w:rsid w:val="0043543B"/>
    <w:rsid w:val="00467E0D"/>
    <w:rsid w:val="004E3AE1"/>
    <w:rsid w:val="00501C66"/>
    <w:rsid w:val="00550873"/>
    <w:rsid w:val="00587FB7"/>
    <w:rsid w:val="00597060"/>
    <w:rsid w:val="005A3556"/>
    <w:rsid w:val="006512B4"/>
    <w:rsid w:val="006857FD"/>
    <w:rsid w:val="006D5177"/>
    <w:rsid w:val="006F22C6"/>
    <w:rsid w:val="007265D0"/>
    <w:rsid w:val="00732E22"/>
    <w:rsid w:val="00741C20"/>
    <w:rsid w:val="00742823"/>
    <w:rsid w:val="007D7AB4"/>
    <w:rsid w:val="007F44F4"/>
    <w:rsid w:val="008A4523"/>
    <w:rsid w:val="008F44CD"/>
    <w:rsid w:val="00904077"/>
    <w:rsid w:val="00904D9E"/>
    <w:rsid w:val="00937A4A"/>
    <w:rsid w:val="0098450B"/>
    <w:rsid w:val="009B5903"/>
    <w:rsid w:val="00A527A5"/>
    <w:rsid w:val="00A7586B"/>
    <w:rsid w:val="00A811D5"/>
    <w:rsid w:val="00B747CE"/>
    <w:rsid w:val="00B95A06"/>
    <w:rsid w:val="00B97A96"/>
    <w:rsid w:val="00B97DFD"/>
    <w:rsid w:val="00BC2CC1"/>
    <w:rsid w:val="00C0043F"/>
    <w:rsid w:val="00C07656"/>
    <w:rsid w:val="00C66E77"/>
    <w:rsid w:val="00C67004"/>
    <w:rsid w:val="00C75E67"/>
    <w:rsid w:val="00CB038E"/>
    <w:rsid w:val="00CB1501"/>
    <w:rsid w:val="00CD7A50"/>
    <w:rsid w:val="00CE6FBA"/>
    <w:rsid w:val="00CF0D8A"/>
    <w:rsid w:val="00D06E4B"/>
    <w:rsid w:val="00D6589B"/>
    <w:rsid w:val="00D85C87"/>
    <w:rsid w:val="00DB6FE7"/>
    <w:rsid w:val="00DE055A"/>
    <w:rsid w:val="00DE61EC"/>
    <w:rsid w:val="00E60B1D"/>
    <w:rsid w:val="00EE2677"/>
    <w:rsid w:val="00F10DF9"/>
    <w:rsid w:val="00F140FB"/>
    <w:rsid w:val="00F24A8A"/>
    <w:rsid w:val="00F3036A"/>
    <w:rsid w:val="00F45B99"/>
    <w:rsid w:val="00F5599D"/>
    <w:rsid w:val="00F64357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7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556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A3556"/>
    <w:rPr>
      <w:rFonts w:ascii="Times New Roman" w:eastAsia="Times New Roman" w:hAnsi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3A31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3A31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310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C00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pcqld.sharepoint.com/sites/DPC-CABINETSERVICES/Shared%20Documents/General/Proactive%20Release/ToBeProcessed/2023/Apr/ResponseEPAReview/Attachments/Response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dpcqld.sharepoint.com/sites/DPC-CABINETSERVICES/Shared%20Documents/General/Proactive%20Release/ToBeProcessed/2023/Apr/ResponseEPAReview/Attachments/Repor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6FC96C-5743-4B0F-8F2C-21D30E325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DAFE8-8EBC-4A19-8F84-1DB5AA4F2A9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3e311de-a790-43ff-be63-577c26c7507c"/>
    <ds:schemaRef ds:uri="http://purl.org/dc/terms/"/>
    <ds:schemaRef ds:uri="b8ed82f2-f7bd-423c-8698-5e132afe924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22</TotalTime>
  <Pages>1</Pages>
  <Words>259</Words>
  <Characters>1517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Company/>
  <LinksUpToDate>false</LinksUpToDate>
  <CharactersWithSpaces>1770</CharactersWithSpaces>
  <SharedDoc>false</SharedDoc>
  <HyperlinkBase>https://www.cabinet.qld.gov.au/documents/2023/Apr/ResponseEPAReview/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creator/>
  <cp:lastModifiedBy/>
  <cp:revision>10</cp:revision>
  <dcterms:created xsi:type="dcterms:W3CDTF">2023-08-17T03:42:00Z</dcterms:created>
  <dcterms:modified xsi:type="dcterms:W3CDTF">2024-09-26T21:50:00Z</dcterms:modified>
  <cp:category>Environment,Environmental_Protection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MediaServiceImageTags">
    <vt:lpwstr/>
  </property>
</Properties>
</file>